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Лечебное дело ПСА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03:27 МСК · База обновлена: 28.08.2026, 01:14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ФАП обратилась женщина 40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тупую боль в поясничной области с правой стороны, частое мочеиспускание, полиурию, температуру 37,2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С, умеренную головную боль, небольшую жажду, слабость.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Эпизоды озноба, неприятных ощущений в поясничной области справа, частого мочеиспускания и полиурии, субфебрильной температуры беспокоят около 3 лет, 1-2 раза в год, особенно во время ОРВИ, переохлаждения. Самостоятельно принимала ампициллин и мочегонный сбор с улучшением. Во время второй беременности (роды 9 лет назад) в моче отмечалось наличие небольшого количества белка и повышенный уровень лейкоцитов. Лечилась мочегонными травами, за медицинской помощью не обращалась. Настоящее ухудшение состояния связывает с перенесенным ОРВИ неделю назад.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Росла и развивалась соответственно возрасту</w:t>
      </w:r>
    </w:p>
    <w:p>
      <w:pPr>
        <w:spacing w:after="58"/>
      </w:pPr>
      <w:r>
        <w:rPr>
          <w:b w:val="0"/>
          <w:i w:val="0"/>
        </w:rPr>
        <w:t>* Профессия: бухгалтер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детские инфекции, Наследственность: у матери –ИБС, у отца- сахарный диабет.</w:t>
      </w:r>
    </w:p>
    <w:p>
      <w:pPr>
        <w:spacing w:after="58"/>
      </w:pPr>
      <w:r>
        <w:rPr>
          <w:b w:val="0"/>
          <w:i w:val="0"/>
        </w:rPr>
        <w:t>* Гинекологический анамнез -беременности 2, роды 2</w:t>
      </w:r>
    </w:p>
    <w:p>
      <w:pPr>
        <w:spacing w:after="58"/>
      </w:pPr>
      <w:r>
        <w:rPr>
          <w:b w:val="0"/>
          <w:i w:val="0"/>
        </w:rPr>
        <w:t>* Вредные привычки: отрицает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spacing w:after="58"/>
      </w:pPr>
      <w:r>
        <w:rPr>
          <w:b w:val="0"/>
          <w:i w:val="0"/>
        </w:rPr>
        <w:t>* Ведет малоподвижный образ жизни.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Температура 37,1</w:t>
      </w:r>
      <w:r>
        <w:rPr>
          <w:b w:val="0"/>
          <w:i w:val="0"/>
          <w:vertAlign w:val="superscript"/>
        </w:rPr>
        <w:t>о</w:t>
      </w:r>
      <w:r>
        <w:rPr>
          <w:b w:val="0"/>
          <w:i w:val="0"/>
        </w:rPr>
        <w:t>С. Рост 170 см, масса тела 72 кг. ИМТ 24,9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Кожные покровы лица бледноватые, отмечается небольшая отечность под глазами. Периферических отеков нет. Дыхание везикулярное, хрипов нет, ЧДД 19 в 1 мин. Верхушечный толчок пальпируется на 1 см кнутри от левой срединно-ключичной линии в 5 межреберье, площадь 2 см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. Границы относительной сердечной тупости; правая – в 4 межреберье по правому краю грудины, верхняя – по левой срединно-ключичной линии на уровне 3 ребра, левая – на 1 см кнутри от левой срединно-ключичной линии в 5 межреберье, совпадает с верхушечным толчком. Тоны ясные, ритм правильный, ЧСС 75 в 1 мин, АД 125/90 мм рт. ст. Пульс удовлетворительного наполнения и напряжения, ритмичный, 82 в минуту. Живот мягкий, отмечается умеренная болезненность при пальпации в проекции правой почки. Печень по краю реберной дуги. Симптом Пастернацкого слабо положителен с правой стороны. Мочеиспускание свободное, безболезненное.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 анализ мочи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мочи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скрытую 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(клинический)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уровня натрийуретического пептида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бактериологический анализ мочи</w:t>
      </w:r>
      <w:r>
        <w:br/>
      </w:r>
      <w:r>
        <w:rPr>
          <w:b/>
          <w:i w:val="0"/>
        </w:rPr>
        <w:t>2 - общий (клинический) анализ мочи</w:t>
      </w:r>
      <w:r>
        <w:br/>
      </w:r>
      <w:r>
        <w:rPr>
          <w:b/>
          <w:i w:val="0"/>
        </w:rPr>
        <w:t>4 - биохимический анализ крови</w:t>
      </w:r>
      <w:r>
        <w:br/>
      </w:r>
      <w:r>
        <w:rPr>
          <w:b/>
          <w:i w:val="0"/>
        </w:rPr>
        <w:t>5 - общий (клинический) анализ крови</w:t>
      </w:r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Рекомендуется проводить стандартный алгоритм обследования, включающий: общий анализ мочи, бактериологический анализ мочи, общий анализ крови, биохимический анализ крови.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</w:t>
        <w:br/>
        <w:t>Взрослых,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необходимому для постановки диагноза инструментальному методу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магнитно-резонансную томографию (МРТ)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эзофагогастродуоденоскопию (ЭГДС)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рентгенографию органов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регистрацию ЭКГ (12 отведений)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УЗИ (ультразвуковое исследование)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5 - УЗИ (ультразвуковое исследование) почек</w:t>
      </w:r>
    </w:p>
    <w:p>
      <w:pPr>
        <w:spacing w:after="58"/>
      </w:pPr>
      <w:r>
        <w:rPr>
          <w:b w:val="0"/>
          <w:i w:val="0"/>
        </w:rPr>
        <w:t>Рекомендуется выполнение УЗИ органов мочевыделительной системы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жалобы, данные анамнеза, объективных методов исследования, больному можно поставить предварительный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Вторичный хронический правосторонний пиелонефрит, фаза обострения, мочекаменная болезнь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тубулоинтерстициальный нефрит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Первичный правосторонний хронический пиелонефрит, фаза активного воспаления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Туберкулез правой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Первичный правосторонний хронический пиелонефрит, фаза активного воспаления</w:t>
      </w:r>
    </w:p>
    <w:p>
      <w:pPr>
        <w:spacing w:after="58"/>
      </w:pPr>
      <w:r>
        <w:rPr>
          <w:b w:val="0"/>
          <w:i w:val="0"/>
        </w:rPr>
        <w:t>Учитывая жалобы пациента, данные анамнеза заболевания (жалобы на озноб, субфебрильную температуру, тупую боль в поясничной области с правой стороны, частое мочеиспускание, давность заболевания около трех лет с эпизодами озноба, неприятных ощущений в поясничной области справа, частого мочеиспускания и субфебрильной температуры во время ОРВИ, переохлаждения, улучшения после приема ампициллина и мочегонного сбора), Болезненность в проекции правой почки при пальпации +</w:t>
        <w:br/>
        <w:t>В активную фазу хронического пиелонефрита больной предъявляет жалобы на тупую боль в поясничной области. Дизурия нехарактерна, однако может присутствовать в виде учащённого болезненного мочеиспускания различной степени выраженности. При детальном сборе анамнеза пациент может отметить следующие неспецифические жалобы:</w:t>
      </w:r>
    </w:p>
    <w:p>
      <w:pPr>
        <w:spacing w:after="58"/>
      </w:pPr>
      <w:r>
        <w:rPr>
          <w:b w:val="0"/>
          <w:i w:val="0"/>
        </w:rPr>
        <w:t>* на эпизоды ознобов и субфебрилитета;</w:t>
      </w:r>
    </w:p>
    <w:p>
      <w:pPr>
        <w:spacing w:after="58"/>
      </w:pPr>
      <w:r>
        <w:rPr>
          <w:b w:val="0"/>
          <w:i w:val="0"/>
        </w:rPr>
        <w:t>* дискомфорт в поясничной области;</w:t>
      </w:r>
    </w:p>
    <w:p>
      <w:pPr>
        <w:spacing w:after="58"/>
      </w:pPr>
      <w:r>
        <w:rPr>
          <w:b w:val="0"/>
          <w:i w:val="0"/>
        </w:rPr>
        <w:t>* утомляемость;</w:t>
      </w:r>
    </w:p>
    <w:p>
      <w:pPr>
        <w:spacing w:after="58"/>
      </w:pPr>
      <w:r>
        <w:rPr>
          <w:b w:val="0"/>
          <w:i w:val="0"/>
        </w:rPr>
        <w:t>* общую слабость;</w:t>
      </w:r>
    </w:p>
    <w:p>
      <w:pPr>
        <w:spacing w:after="58"/>
      </w:pPr>
      <w:r>
        <w:rPr>
          <w:b w:val="0"/>
          <w:i w:val="0"/>
        </w:rPr>
        <w:t>* снижение работоспособности и т.д.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минимальном подозрении на хроническую почечную недостаточность рекомендуется проведение пробы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Реберга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Ривальта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Тиффно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Нечипоренко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Реберга</w:t>
      </w:r>
    </w:p>
    <w:p>
      <w:pPr>
        <w:spacing w:after="58"/>
      </w:pPr>
      <w:r>
        <w:rPr>
          <w:b w:val="0"/>
          <w:i w:val="0"/>
        </w:rPr>
        <w:t>Рекомендуется выполнять пробу Реберга при минимальном подозрении на ХПН.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Диагностика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Пациенту при хроническом неосложненном пиелонефрите рекомендуется выпивать не менее +__+ литров(а) жидкости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</w:t>
      </w:r>
    </w:p>
    <w:p>
      <w:pPr>
        <w:spacing w:after="58"/>
      </w:pPr>
      <w:r>
        <w:rPr>
          <w:b w:val="0"/>
          <w:i w:val="0"/>
        </w:rPr>
        <w:t>При хроническом пиелонефрите рекомендуется поддерживать</w:t>
        <w:br/>
        <w:t>достаточный диурез. Объём выпиваемой жидкости должен</w:t>
        <w:br/>
        <w:t>составлять 2000–2500 мл/сут.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Основными препаратами в лечении хронического пиелонефрита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антибактериальные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мочегонные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антибактериальные</w:t>
      </w:r>
    </w:p>
    <w:p>
      <w:pPr>
        <w:spacing w:after="58"/>
      </w:pPr>
      <w:r>
        <w:rPr>
          <w:b w:val="0"/>
          <w:i w:val="0"/>
        </w:rPr>
        <w:t>В лечении хронического пиелонефрита ведущее</w:t>
        <w:br/>
        <w:t>значение имеет антибактериальная терапия.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Препаратами выбора при хроническом пиелонефрите, осложненном артериальной гипертензией,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бета-адреноблокаторы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АПФ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антагонисты кальция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нитраты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ингибиторы АПФ</w:t>
      </w:r>
    </w:p>
    <w:p>
      <w:pPr>
        <w:spacing w:after="58"/>
      </w:pPr>
      <w:r>
        <w:rPr>
          <w:b w:val="0"/>
          <w:i w:val="0"/>
        </w:rPr>
        <w:t>Гипотензивную терапию при хроническом пиелонефрите рекомендуется проводить по обычным схемам. Однако необходимо отметить, что артериальная гипертензия в большинстве случаев связана с повышением уровня ренина крови, поэтому базовыми препаратами считают ингибиторы АПФ. В случае их непереносимости (в основном из-за кашля) препаратами выбора будут антагонисты рецепторов ангиотензина II.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Длительность антибактериальной терапии при рецидивировании острого неосложненного пиелонефрита легкой степени тяжести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10-14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21-25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3 - 10-14</w:t>
      </w:r>
    </w:p>
    <w:p>
      <w:pPr>
        <w:spacing w:after="58"/>
      </w:pPr>
      <w:r>
        <w:rPr>
          <w:b w:val="0"/>
          <w:i w:val="0"/>
        </w:rPr>
        <w:t>При рецидивировании острого неосложненного пиелонефрита легкой и средней степени тяжести достаточно назначения пероральной терапии в течение 10–14 дней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Антисептическими и мочегонными свойствами обладает отвар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рябины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брусники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пижмы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крапивы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брусники</w:t>
      </w:r>
    </w:p>
    <w:p>
      <w:pPr>
        <w:spacing w:after="58"/>
      </w:pPr>
      <w:r>
        <w:rPr>
          <w:b w:val="0"/>
          <w:i w:val="0"/>
        </w:rPr>
        <w:t>Рекомендовано применение мочегонных сборов, витаминизированных отваров (морсов) с антисептическими свойствами (клюква, брусника, шиповник).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хирургическому лечению хронического пиелонефрита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контролируемая вторичная 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односторонний нефросклероз с сохраненной функцией почки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обострение хронического пиелонефрита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карбункул почки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карбункул почки</w:t>
      </w:r>
    </w:p>
    <w:p>
      <w:pPr>
        <w:spacing w:after="58"/>
      </w:pPr>
      <w:r>
        <w:rPr>
          <w:b w:val="0"/>
          <w:i w:val="0"/>
        </w:rPr>
        <w:t>При обострении хронического пиелонефрита, перешедшего в гнойную фазу (апостематозный нефрит или карбункул почки) рекомендованы декапсуляция почки и нефростомия.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При отсутствии обострений пациенту с хроническим пиелонефритом рекомендована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отварами мочегонных и антисептических трав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нестероидными противовоспалительными средствами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антигистаминными препаратами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антибактериальными препаратами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отварами мочегонных и антисептических трав</w:t>
      </w:r>
    </w:p>
    <w:p>
      <w:pPr>
        <w:spacing w:after="58"/>
      </w:pPr>
      <w:r>
        <w:rPr>
          <w:b w:val="0"/>
          <w:i w:val="0"/>
        </w:rPr>
        <w:t>При отсутствии обострений рекомендована длительная терапия отварами мочегонных и антисептических трав или растительными препаратами.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Лечение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Профилактика хронического пиелонефрита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переохлаждений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питание с большим содержанием белка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питание с большим содержанием углеводов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исключение переохлаждений</w:t>
      </w:r>
    </w:p>
    <w:p>
      <w:pPr>
        <w:spacing w:after="58"/>
      </w:pPr>
      <w:r>
        <w:rPr>
          <w:b w:val="0"/>
          <w:i w:val="0"/>
        </w:rPr>
        <w:t>Рекомендуется исключение переохлаждений.</w:t>
      </w:r>
    </w:p>
    <w:p>
      <w:pPr>
        <w:spacing w:after="58"/>
      </w:pPr>
      <w:r>
        <w:rPr>
          <w:b w:val="0"/>
          <w:i w:val="0"/>
        </w:rPr>
        <w:t>Клинические рекомендации Хронический пиелонефрит у взрослых, раздел Профилактика 2016 год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Хронический пиелонефрит у взрослых, 2016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20" w:name="case_0002"/>
      <w:r>
        <w:t>Ситуационная задача 0002</w:t>
      </w:r>
      <w:bookmarkEnd w:id="20"/>
    </w:p>
    <w:p>
      <w:r>
        <w:rPr>
          <w:b/>
        </w:rPr>
        <w:t xml:space="preserve">Образование: </w:t>
      </w:r>
      <w:r>
        <w:t>Среднее образование</w:t>
      </w:r>
      <w:r>
        <w:rPr>
          <w:b/>
        </w:rPr>
        <w:t xml:space="preserve"> | Специальность: </w:t>
      </w:r>
      <w:r>
        <w:t>Лечебное дело ПСА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Осуществлен амбулаторный вызов фельдшера ФАП к ребенку - мальчик 3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лающий кашель утром, осиплость голоса, беспокойство.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остро. На фоне полного здоровья утром появился лающий кашель, с затрудненным шумным вдохом, выражена осиплость голоса. Температура 37,8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первой беременности, на фоне анемии II степени. Роды срочные. Оценка по шкале АПГАР 8/9 баллов. На грудном вскармливании до 1года. Профилактические прививки по календарю. От гриппа не привит- отказ родителей.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Вес 15 кг. Длина тела – 99см. температура 37,5</w:t>
      </w:r>
      <w:r>
        <w:rPr>
          <w:b w:val="0"/>
          <w:i w:val="0"/>
          <w:vertAlign w:val="superscript"/>
        </w:rPr>
        <w:t>0</w:t>
      </w:r>
      <w:r>
        <w:rPr>
          <w:b w:val="0"/>
          <w:i w:val="0"/>
        </w:rPr>
        <w:t>С. Кожные покровы бледные. Вынужденное положение тела. Голос сиплый. Кашель грубый, при вдохе легкое втяжение в области яремной вырезки. Грудная клетка правильной формы. Перкуторно звук легочный. Дыхание проводится над всеми точками аускультации жесткое. Частота дыхания 40 в минуту. Тоны сердца ясные ритмичные. ЧСС - 120 в мин. Живот доступен пальпации, безболезненный.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стенозу гортани I степени (стадия компенсации)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осиплость, грубый навязчивый кашель, беспокойство, страх, возможна апатия, резкая одышка с выраженным втяжением податливых мест грудной клетки, бледность, акроцианоз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резкая бледность и цианоз, гипотермия, возможны судороги, мидриаз, дыхание частое, поверхностное, артериальная гипотензия, нитевидный пульс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осиплость, грубый навязчивый кашель, умеренная одышка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грубый навязчивый кашель, выраженная одышка, возбуждение, дыхание с участием вспомогательной мускулатуры, втяжением податливых мест грудной клетки, раздуванием крыльев носа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осиплость, грубый навязчивый кашель, умеренная одышка</w:t>
      </w:r>
    </w:p>
    <w:p>
      <w:pPr>
        <w:spacing w:after="58"/>
      </w:pPr>
      <w:r>
        <w:rPr>
          <w:b w:val="0"/>
          <w:i w:val="0"/>
        </w:rPr>
        <w:t>Таблица 1. Степени стеноза гортани (по В.Ф. Ундрицу, 1969 г.)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060"/>
        <w:gridCol w:w="5060"/>
      </w:tblGrid>
      <w:tr>
        <w:trPr>
          <w:tblHeader w:val="true"/>
        </w:trPr>
        <w:tc>
          <w:tcPr>
            <w:tcW w:type="dxa" w:w="5060"/>
          </w:tcPr>
          <w:p>
            <w:r>
              <w:rPr>
                <w:b/>
                <w:i w:val="0"/>
              </w:rPr>
              <w:t>Степень</w:t>
            </w:r>
          </w:p>
        </w:tc>
        <w:tc>
          <w:tcPr>
            <w:tcW w:type="dxa" w:w="5060"/>
          </w:tcPr>
          <w:p>
            <w:r>
              <w:rPr>
                <w:b/>
                <w:i w:val="0"/>
              </w:rPr>
              <w:t>Клинические проявления</w:t>
            </w:r>
          </w:p>
        </w:tc>
      </w:tr>
      <w:tr>
        <w:tc>
          <w:tcPr>
            <w:tcW w:type="dxa" w:w="5060"/>
          </w:tcPr>
          <w:p>
            <w:r>
              <w:rPr>
                <w:b w:val="0"/>
                <w:i w:val="0"/>
              </w:rPr>
              <w:t>I (стадия компенсации)</w:t>
            </w:r>
          </w:p>
        </w:tc>
        <w:tc>
          <w:tcPr>
            <w:tcW w:type="dxa" w:w="5060"/>
          </w:tcPr>
          <w:p>
            <w:r>
              <w:rPr>
                <w:b w:val="0"/>
                <w:i w:val="0"/>
              </w:rPr>
              <w:t>Осиплость, грубый навязчивый кашель,</w:t>
              <w:br/>
              <w:t>умеренная одышка</w:t>
            </w:r>
          </w:p>
        </w:tc>
      </w:tr>
    </w:tbl>
    <w:p/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преобладающему этиологическому фактору воспаления гортани, сопровождающееся развитием крупа,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риновирусы и вирусы простого герпеса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вирусы парагриппа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респираторно-синцитиальные вирусы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аденовирусы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вирусы парагриппа</w:t>
      </w:r>
    </w:p>
    <w:p>
      <w:pPr>
        <w:spacing w:after="58"/>
      </w:pPr>
      <w:r>
        <w:rPr>
          <w:b w:val="0"/>
          <w:i w:val="0"/>
        </w:rPr>
        <w:t>Наиболее часто причинно значимыми возбудителями острого обструктивного ларингита являются респираторные вирусы, причем до 80% случаев крупа обусловлено вирусом парагриппа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анамнез и клинические данные, ребенку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Острый ларингит, стеноз II степени, среднетяжелое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ларингит, стеноз III степени, тяжелое 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Острый ларингит, стеноз I степени, средней степени тяжести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Острый ларингит, без стеноза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Острый ларингит, стеноз I степени, средней степени тяжести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024"/>
        <w:gridCol w:w="2024"/>
        <w:gridCol w:w="2024"/>
        <w:gridCol w:w="2024"/>
        <w:gridCol w:w="2024"/>
      </w:tblGrid>
      <w:tr>
        <w:trPr>
          <w:tblHeader w:val="true"/>
        </w:trPr>
        <w:tc>
          <w:tcPr>
            <w:tcW w:type="dxa" w:w="2024"/>
          </w:tcPr>
          <w:p>
            <w:r>
              <w:rPr>
                <w:b/>
                <w:i w:val="0"/>
              </w:rPr>
              <w:t>Признаки</w:t>
            </w:r>
          </w:p>
        </w:tc>
        <w:tc>
          <w:tcPr>
            <w:tcW w:type="dxa" w:w="2024"/>
          </w:tcPr>
          <w:p>
            <w:r>
              <w:rPr>
                <w:b/>
                <w:i w:val="0"/>
              </w:rPr>
              <w:t>Степень тяжести</w:t>
            </w:r>
          </w:p>
        </w:tc>
        <w:tc>
          <w:tcPr>
            <w:tcW w:type="dxa" w:w="2024"/>
          </w:tcPr>
          <w:p/>
        </w:tc>
        <w:tc>
          <w:tcPr>
            <w:tcW w:type="dxa" w:w="2024"/>
          </w:tcPr>
          <w:p/>
        </w:tc>
        <w:tc>
          <w:tcPr>
            <w:tcW w:type="dxa" w:w="2024"/>
          </w:tcPr>
          <w:p/>
        </w:tc>
      </w:tr>
      <w:tr>
        <w:tc>
          <w:tcPr>
            <w:tcW w:type="dxa" w:w="2024"/>
          </w:tcPr>
          <w:p/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Легкая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Среднетяжелая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Тяжелая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Терминальная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Лающий кашель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Редко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Часто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Часто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Редко в связи с апатией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Стридор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 покое отсутствует или имеет минимальные проявления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Легко слышен в покое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Постоянно слышен на вдохе и периодически на выдохе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Слышен в покое, но может быть тихим или почти неразличимым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Втяжение надключичных и/или межреберных промежутков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 или выражено незначительно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Заметно в покое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Выраженное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Может быть незаметно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Дистресс, возбуждение или сонливость (гипоксия ЦНС)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Отсутствует или незначительная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Может быть выраженная сонливость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Выраженная сонливость или нарушение сознания</w:t>
            </w:r>
          </w:p>
        </w:tc>
      </w:tr>
      <w:tr>
        <w:tc>
          <w:tcPr>
            <w:tcW w:type="dxa" w:w="2024"/>
          </w:tcPr>
          <w:p>
            <w:r>
              <w:rPr>
                <w:b w:val="0"/>
                <w:i w:val="0"/>
              </w:rPr>
              <w:t>Цианоз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2024"/>
          </w:tcPr>
          <w:p>
            <w:r>
              <w:rPr>
                <w:b w:val="0"/>
                <w:i w:val="0"/>
              </w:rPr>
              <w:t>Бледность и синюшность кожных покровов без дотации кислорода</w:t>
            </w:r>
          </w:p>
        </w:tc>
      </w:tr>
    </w:tbl>
    <w:p/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Изменения при крупе локализуются исключительно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 голосовыми связками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подскладочной области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 голосовых связках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 уровне трахеи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подскладочной области</w:t>
      </w:r>
    </w:p>
    <w:p>
      <w:pPr>
        <w:spacing w:after="58"/>
      </w:pPr>
      <w:r>
        <w:rPr>
          <w:b w:val="0"/>
          <w:i w:val="0"/>
        </w:rPr>
        <w:t>Острый обструктивный ларингит (круп) - воспаление гортани и тканей подскладочного пространства с сужением просвета гортани.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Основа лечения вирусных стенозов гортани включает применение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ингаляций с физиологическим раствором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глюкокортикостероидов в ингаляциях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тепловых ингаляций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глюкокортикостероидов в ингаляциях</w:t>
      </w:r>
    </w:p>
    <w:p>
      <w:pPr>
        <w:spacing w:after="58"/>
      </w:pPr>
      <w:r>
        <w:rPr>
          <w:b w:val="0"/>
          <w:i w:val="0"/>
        </w:rPr>
        <w:t>Для терапии крупа рекомендуется применение глюкокортикостероидных препаратов.</w:t>
      </w:r>
    </w:p>
    <w:p>
      <w:pPr>
        <w:spacing w:after="58"/>
      </w:pPr>
      <w:r>
        <w:rPr>
          <w:b w:val="0"/>
          <w:i w:val="0"/>
        </w:rPr>
        <w:t>Комментарии: согласно международному консенсусу, а также рекомендациям Всемирной организации здравоохранения, основу лечения острого обструктивного ларингита составляют ингаляционные и системные глюкокортикостероиды.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 xml:space="preserve">Доза будесонида для ингаляции при стенозе гортани II степени составляет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2 - 2</w:t>
      </w:r>
    </w:p>
    <w:p>
      <w:pPr>
        <w:spacing w:after="58"/>
      </w:pPr>
      <w:r>
        <w:rPr>
          <w:b w:val="0"/>
          <w:i w:val="0"/>
        </w:rPr>
        <w:t>Для купирования крупа эффективно ингаляционное введение суспензии Будесонида через компрессорный небулайзер или МЭШ (мембранный)- небулайзер в дозировке 2 мг в сутки. Дозу препарата можно принять за один раз(единовременно) или разделить ее на два приема по 1 мг в 30 минут. В 85% случаев (обычно при стенозе гортани 1 степени) бывает достаточно 1 процедуры. При необходимости, возможно повторение ингаляций согласно инструкции.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невозможности проведения ингаляции, выраженном беспокойстве ребенка проводят парентеральное введение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глюкокортикоидов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бронхолитиков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антибиотиков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антигистаминных препаратов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глюкокортикоидов</w:t>
      </w:r>
    </w:p>
    <w:p>
      <w:pPr>
        <w:spacing w:after="58"/>
      </w:pPr>
      <w:r>
        <w:rPr>
          <w:b w:val="0"/>
          <w:i w:val="0"/>
        </w:rPr>
        <w:t>Дексаметазон**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Будесонида**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Будесонидом**.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Доза дексаметазона при парентеральном введении составляет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мг/кг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1,0-2,0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3,0-6,0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0,15-0,6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1,5-2,5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3 - 0,15-0,6</w:t>
      </w:r>
    </w:p>
    <w:p>
      <w:pPr>
        <w:spacing w:after="58"/>
      </w:pPr>
      <w:r>
        <w:rPr>
          <w:b w:val="0"/>
          <w:i w:val="0"/>
        </w:rPr>
        <w:t>Дексаметазон** (код ATX: H02AB02) 0,15–0,6 мг/кг вводится внутримышечно (или внутривенно) детям со стенозом гортани 2 степени или при неэффективности ингаляции суспензии Будесонида** при стенозе 1 степени, а также детям младшего возраста при невозможности адекватного проведения ингаляции или чрезмерном беспокойстве ребенка при попытке ингаляции Будесонидом**.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Противовоспалительная антибиотикотерапия детям при ларингите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назначается всем детям не зависимо от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назначается при стенозе III степени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назначается детям до года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 показана</w:t>
      </w:r>
    </w:p>
    <w:p>
      <w:pPr>
        <w:spacing w:after="58"/>
      </w:pPr>
      <w:r>
        <w:rPr>
          <w:b w:val="0"/>
          <w:i w:val="0"/>
        </w:rPr>
        <w:t>Антибактериальная терапия не рекомендуется к назначению при крупе, т.к. не имеет эффективности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Показанием к госпитализации детей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наличие больного ребенка в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возраст ребенка до 6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желание родителей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стеноз 2-3 степени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стеноз 2-3 степени</w:t>
      </w:r>
    </w:p>
    <w:p>
      <w:pPr>
        <w:spacing w:after="58"/>
      </w:pPr>
      <w:r>
        <w:rPr>
          <w:b w:val="0"/>
          <w:i w:val="0"/>
        </w:rPr>
        <w:t>Госпитализация показана в следующих случаях:</w:t>
      </w:r>
    </w:p>
    <w:p>
      <w:pPr>
        <w:spacing w:after="58"/>
      </w:pPr>
      <w:r>
        <w:rPr>
          <w:b w:val="0"/>
          <w:i w:val="0"/>
        </w:rPr>
        <w:t>- стеноз гортани 2-3 степени;</w:t>
      </w:r>
    </w:p>
    <w:p>
      <w:pPr>
        <w:spacing w:after="58"/>
      </w:pPr>
      <w:r>
        <w:rPr>
          <w:b w:val="0"/>
          <w:i w:val="0"/>
        </w:rPr>
        <w:t>- невозможность проведения адекватной терапии в домашних условиях;</w:t>
      </w:r>
    </w:p>
    <w:p>
      <w:pPr>
        <w:spacing w:after="58"/>
      </w:pPr>
      <w:r>
        <w:rPr>
          <w:b w:val="0"/>
          <w:i w:val="0"/>
        </w:rPr>
        <w:t>- прогрессирующее ухудшение состояния.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У больного со стенозом гортани важно сразу исключить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гастро-эзофагальный рефлюкс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приступ бронхиальной астмы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эпиглоттит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пневмонию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эпиглоттит</w:t>
      </w:r>
    </w:p>
    <w:p>
      <w:pPr>
        <w:spacing w:after="58"/>
      </w:pPr>
      <w:r>
        <w:rPr>
          <w:b w:val="0"/>
          <w:i w:val="0"/>
        </w:rPr>
        <w:t>Круп необходимо дифференцировать с другими заболеваниями, сопровождающимися стенозом или обструкцией верхних дыхательных путей, прежде всего с эпиглоттитом, который все еще встречается в условиях отсутствия массовой вакцинации против гемофильной инфекции типа b. В отличие от вирусного крупа эпиглоттиту не свойственны катаральные явления, кашель и осиплость голоса.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Жаропонижающие препараты пациентам без хронической патологии и при отсутствии дискомфорта, связанного с высокой температурой оправданы при температуре </w:t>
      </w:r>
      <w:r>
        <w:rPr>
          <w:b w:val="0"/>
          <w:i w:val="0"/>
        </w:rPr>
        <w:t>_________</w:t>
      </w:r>
      <w:r>
        <w:rPr>
          <w:b w:val="0"/>
          <w:i w:val="0"/>
        </w:rPr>
        <w:t xml:space="preserve"> °С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38,5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37,5-38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выше 39 - 39,5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выше 39 - 39,5</w:t>
      </w:r>
    </w:p>
    <w:p>
      <w:pPr>
        <w:spacing w:after="58"/>
      </w:pPr>
      <w:r>
        <w:rPr>
          <w:b w:val="0"/>
          <w:i w:val="0"/>
        </w:rPr>
        <w:t>Снижение температуры: лихорадящего ребенка следует раскрыть, обтереть водой Т° 25-30°С. С целью снижения температуры у детей допустимо применение только 2-х препаратов – парацетамола или ибупрофена. Жаропонижающие препараты у здоровых детей ≥3 месяцев оправданы при температуре выше 39-39,5°С. При менее выраженной лихорадке (38-38,5°С) средства, снижающие температуру, показаны детям до 3 месяцев, пациентам с хронической патологией, а также при связанном с температурой дискомфорте. Регулярный (курсовой) прием жаропонижающих нежелателен, повторную дозу вводят только после нового повышения температуры.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Клинические рекомендации Минздрава России. Острый обструктивный ларингит (круп), эпиглоттит, постинтубационный отек гортани, 2024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Лечебное дело ПСА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cr_55/" TargetMode="External"/><Relationship Id="rId24" Type="http://schemas.openxmlformats.org/officeDocument/2006/relationships/hyperlink" Target="https://library.mededtech.ru/rest/documents/cr_55/#list_item_muop8" TargetMode="External"/><Relationship Id="rId25" Type="http://schemas.openxmlformats.org/officeDocument/2006/relationships/hyperlink" Target="https://library.mededtech.ru/rest/documents/cr_55/#list_item_i5r02" TargetMode="External"/><Relationship Id="rId26" Type="http://schemas.openxmlformats.org/officeDocument/2006/relationships/image" Target="media/image8.png"/><Relationship Id="rId27" Type="http://schemas.openxmlformats.org/officeDocument/2006/relationships/hyperlink" Target="https://library.mededtech.ru/rest/documents/cr_55/#paragraph_sqe6s" TargetMode="External"/><Relationship Id="rId28" Type="http://schemas.openxmlformats.org/officeDocument/2006/relationships/hyperlink" Target="https://library.mededtech.ru/rest/documents/cr_55/#list_item_2v2nt" TargetMode="External"/><Relationship Id="rId29" Type="http://schemas.openxmlformats.org/officeDocument/2006/relationships/hyperlink" Target="https://library.mededtech.ru/rest/documents/cr_55/#list_item_19d3a" TargetMode="External"/><Relationship Id="rId30" Type="http://schemas.openxmlformats.org/officeDocument/2006/relationships/hyperlink" Target="https://library.mededtech.ru/rest/documents/cr_55/#paragraph_fib05" TargetMode="External"/><Relationship Id="rId31" Type="http://schemas.openxmlformats.org/officeDocument/2006/relationships/hyperlink" Target="https://library.mededtech.ru/rest/documents/cr_55/#list_item_2ohtl" TargetMode="External"/><Relationship Id="rId32" Type="http://schemas.openxmlformats.org/officeDocument/2006/relationships/hyperlink" Target="https://library.mededtech.ru/rest/documents/cr_55/#list_item_bro62" TargetMode="External"/><Relationship Id="rId33" Type="http://schemas.openxmlformats.org/officeDocument/2006/relationships/hyperlink" Target="https://library.mededtech.ru/rest/documents/cr_55/#list_item_0e3f0" TargetMode="External"/><Relationship Id="rId34" Type="http://schemas.openxmlformats.org/officeDocument/2006/relationships/hyperlink" Target="https://library.mededtech.ru/rest/documents/cr_55/#list_item_i93v4" TargetMode="External"/><Relationship Id="rId35" Type="http://schemas.openxmlformats.org/officeDocument/2006/relationships/hyperlink" Target="https://library.mededtech.ru/rest/documents/cr_55/#list_item_ulg5u" TargetMode="External"/><Relationship Id="rId36" Type="http://schemas.openxmlformats.org/officeDocument/2006/relationships/hyperlink" Target="https://library.mededtech.ru/rest/documents/KP352_3/" TargetMode="External"/><Relationship Id="rId37" Type="http://schemas.openxmlformats.org/officeDocument/2006/relationships/hyperlink" Target="https://library.mededtech.ru/rest/documents/KP352_3/#table1" TargetMode="External"/><Relationship Id="rId38" Type="http://schemas.openxmlformats.org/officeDocument/2006/relationships/hyperlink" Target="https://library.mededtech.ru/rest/documents/KP352_3/#paragraph_4p5tkl" TargetMode="External"/><Relationship Id="rId39" Type="http://schemas.openxmlformats.org/officeDocument/2006/relationships/hyperlink" Target="https://library.mededtech.ru/rest/documents/KP352_3/#table2" TargetMode="External"/><Relationship Id="rId40" Type="http://schemas.openxmlformats.org/officeDocument/2006/relationships/hyperlink" Target="https://library.mededtech.ru/rest/documents/KP352_3/#paragraph_rb19ui" TargetMode="External"/><Relationship Id="rId41" Type="http://schemas.openxmlformats.org/officeDocument/2006/relationships/hyperlink" Target="https://library.mededtech.ru/rest/documents/KP352_3/#list_item_gr5uig" TargetMode="External"/><Relationship Id="rId42" Type="http://schemas.openxmlformats.org/officeDocument/2006/relationships/hyperlink" Target="https://library.mededtech.ru/rest/documents/KP352_3/#paragraph_rd7fs7" TargetMode="External"/><Relationship Id="rId43" Type="http://schemas.openxmlformats.org/officeDocument/2006/relationships/hyperlink" Target="https://library.mededtech.ru/rest/documents/KP352_3/#paragraph_uqgkhk" TargetMode="External"/><Relationship Id="rId44" Type="http://schemas.openxmlformats.org/officeDocument/2006/relationships/hyperlink" Target="https://library.mededtech.ru/rest/documents/KP352_3/#list_item_rpor3a" TargetMode="External"/><Relationship Id="rId45" Type="http://schemas.openxmlformats.org/officeDocument/2006/relationships/hyperlink" Target="https://library.mededtech.ru/rest/documents/KP352_3/#paragraph_tpcsca" TargetMode="External"/><Relationship Id="rId46" Type="http://schemas.openxmlformats.org/officeDocument/2006/relationships/hyperlink" Target="https://library.mededtech.ru/rest/documents/KP352_3/#paragraph_ic5rc9" TargetMode="External"/><Relationship Id="rId47" Type="http://schemas.openxmlformats.org/officeDocument/2006/relationships/hyperlink" Target="https://library.mededtech.ru/rest/documents/KP352_3/#paragraph_ae1vo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